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2"/>
    <w:bookmarkEnd w:id="2"/>
    <w:p w:rsidR="00000000" w:rsidDel="00000000" w:rsidP="00000000" w:rsidRDefault="00000000" w:rsidRPr="00000000" w14:paraId="0000001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21">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4"/>
    <w:bookmarkEnd w:id="4"/>
    <w:p w:rsidR="00000000" w:rsidDel="00000000" w:rsidP="00000000" w:rsidRDefault="00000000" w:rsidRPr="00000000" w14:paraId="0000002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D">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7"/>
    <w:bookmarkEnd w:id="7"/>
    <w:p w:rsidR="00000000" w:rsidDel="00000000" w:rsidP="00000000" w:rsidRDefault="00000000" w:rsidRPr="00000000" w14:paraId="0000002F">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30">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31">
      <w:pPr>
        <w:numPr>
          <w:ilvl w:val="3"/>
          <w:numId w:val="1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0"/>
    <w:bookmarkEnd w:id="10"/>
    <w:p w:rsidR="00000000" w:rsidDel="00000000" w:rsidP="00000000" w:rsidRDefault="00000000" w:rsidRPr="00000000" w14:paraId="0000003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3"/>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3"/>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3"/>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3"/>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3"/>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3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4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5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7"/>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sz w:val="24"/>
          <w:szCs w:val="24"/>
          <w:rtl w:val="0"/>
        </w:rPr>
        <w:t xml:space="preserve">CCS Head of Privacy &amp; Data Protection eMail: </w:t>
      </w:r>
    </w:p>
    <w:p w:rsidR="00000000" w:rsidDel="00000000" w:rsidP="00000000" w:rsidRDefault="00000000" w:rsidRPr="00000000" w14:paraId="00000073">
      <w:pPr>
        <w:keepNext w:val="1"/>
        <w:spacing w:after="0" w:line="240" w:lineRule="auto"/>
        <w:ind w:left="720" w:firstLine="0"/>
        <w:rPr>
          <w:rFonts w:ascii="Arial" w:cs="Arial" w:eastAsia="Arial" w:hAnsi="Arial"/>
          <w:sz w:val="24"/>
          <w:szCs w:val="24"/>
        </w:rPr>
      </w:pPr>
      <w:hyperlink r:id="rId7">
        <w:r w:rsidDel="00000000" w:rsidR="00000000" w:rsidRPr="00000000">
          <w:rPr>
            <w:rFonts w:ascii="Arial" w:cs="Arial" w:eastAsia="Arial" w:hAnsi="Arial"/>
            <w:color w:val="1155cc"/>
            <w:sz w:val="24"/>
            <w:szCs w:val="24"/>
            <w:u w:val="single"/>
            <w:rtl w:val="0"/>
          </w:rPr>
          <w:t xml:space="preserve">gdprgeneralenquiries@crowncommercial.gov.uk</w:t>
        </w:r>
      </w:hyperlink>
      <w:r w:rsidDel="00000000" w:rsidR="00000000" w:rsidRPr="00000000">
        <w:rPr>
          <w:rFonts w:ascii="Arial" w:cs="Arial" w:eastAsia="Arial" w:hAnsi="Arial"/>
          <w:sz w:val="24"/>
          <w:szCs w:val="24"/>
          <w:rtl w:val="0"/>
        </w:rPr>
        <w:t xml:space="preserve">; Telephone: 0345 410 2222</w:t>
      </w:r>
    </w:p>
    <w:p w:rsidR="00000000" w:rsidDel="00000000" w:rsidP="00000000" w:rsidRDefault="00000000" w:rsidRPr="00000000" w14:paraId="00000074">
      <w:pPr>
        <w:keepNext w:val="1"/>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w:t>
      </w:r>
      <w:r w:rsidDel="00000000" w:rsidR="00000000" w:rsidRPr="00000000">
        <w:rPr>
          <w:rtl w:val="0"/>
        </w:rPr>
      </w:r>
    </w:p>
    <w:p w:rsidR="00000000" w:rsidDel="00000000" w:rsidP="00000000" w:rsidRDefault="00000000" w:rsidRPr="00000000" w14:paraId="00000076">
      <w:pPr>
        <w:keepNext w:val="1"/>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8">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9">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contact details for supplier and key subcontractors</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B">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C">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90">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9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2">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7">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From Framework award date until expiry of all Call Off Contract under RM6283. </w:t>
            </w:r>
          </w:p>
        </w:tc>
      </w:tr>
      <w:tr>
        <w:trPr>
          <w:cantSplit w:val="0"/>
          <w:trHeight w:val="152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Data will be collected, recorded and processed to enable effective management of the Framework Agreement (RM6283). </w:t>
            </w:r>
          </w:p>
          <w:p w:rsidR="00000000" w:rsidDel="00000000" w:rsidP="00000000" w:rsidRDefault="00000000" w:rsidRPr="00000000" w14:paraId="0000009C">
            <w:pPr>
              <w:rPr>
                <w:rFonts w:ascii="Arial" w:cs="Arial" w:eastAsia="Arial" w:hAnsi="Arial"/>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will include: </w:t>
            </w:r>
          </w:p>
          <w:p w:rsidR="00000000" w:rsidDel="00000000" w:rsidP="00000000" w:rsidRDefault="00000000" w:rsidRPr="00000000" w14:paraId="0000009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0A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details </w:t>
            </w:r>
          </w:p>
        </w:tc>
      </w:tr>
      <w:tr>
        <w:trPr>
          <w:cantSplit w:val="0"/>
          <w:trHeight w:val="1560" w:hRule="atLeast"/>
          <w:tblHeader w:val="0"/>
        </w:trPr>
        <w:tc>
          <w:tcPr>
            <w:shd w:fill="auto" w:val="clear"/>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Data subjects may include: </w:t>
            </w:r>
          </w:p>
          <w:p w:rsidR="00000000" w:rsidDel="00000000" w:rsidP="00000000" w:rsidRDefault="00000000" w:rsidRPr="00000000" w14:paraId="000000A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(Employee) and Contracted Employees</w:t>
            </w:r>
          </w:p>
          <w:p w:rsidR="00000000" w:rsidDel="00000000" w:rsidP="00000000" w:rsidRDefault="00000000" w:rsidRPr="00000000" w14:paraId="000000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Self Employed Contractors </w:t>
            </w:r>
          </w:p>
          <w:p w:rsidR="00000000" w:rsidDel="00000000" w:rsidP="00000000" w:rsidRDefault="00000000" w:rsidRPr="00000000" w14:paraId="000000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Customers/Clients </w:t>
            </w:r>
          </w:p>
          <w:p w:rsidR="00000000" w:rsidDel="00000000" w:rsidP="00000000" w:rsidRDefault="00000000" w:rsidRPr="00000000" w14:paraId="000000A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w:t>
            </w:r>
          </w:p>
        </w:tc>
      </w:tr>
      <w:tr>
        <w:trPr>
          <w:cantSplit w:val="0"/>
          <w:trHeight w:val="1560" w:hRule="atLeast"/>
          <w:tblHeader w:val="0"/>
        </w:trPr>
        <w:tc>
          <w:tcPr>
            <w:shd w:fill="auto" w:val="clear"/>
          </w:tcPr>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D">
            <w:pPr>
              <w:rPr>
                <w:rFonts w:ascii="Arial" w:cs="Arial" w:eastAsia="Arial" w:hAnsi="Arial"/>
                <w:sz w:val="24"/>
                <w:szCs w:val="24"/>
              </w:rPr>
            </w:pPr>
            <w:bookmarkStart w:colFirst="0" w:colLast="0" w:name="_heading=h.30j0zll" w:id="15"/>
            <w:bookmarkEnd w:id="15"/>
            <w:r w:rsidDel="00000000" w:rsidR="00000000" w:rsidRPr="00000000">
              <w:rPr>
                <w:rFonts w:ascii="Arial" w:cs="Arial" w:eastAsia="Arial" w:hAnsi="Arial"/>
                <w:sz w:val="24"/>
                <w:szCs w:val="24"/>
                <w:rtl w:val="0"/>
              </w:rPr>
              <w:t xml:space="preserve">The Supplier must retain and securely store any data in relation to a Call Off Contract for a minimum of 7 years after the expiry of the Agreement. Once this period has ended the Supplier must destroy any data in line with 6.2 of the Core Terms (v3.0.11).</w:t>
            </w:r>
          </w:p>
        </w:tc>
      </w:tr>
    </w:tbl>
    <w:p w:rsidR="00000000" w:rsidDel="00000000" w:rsidP="00000000" w:rsidRDefault="00000000" w:rsidRPr="00000000" w14:paraId="000000A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1">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B2">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3">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B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B5">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6">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7">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8">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A">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B">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D">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C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C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C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4">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5">
      <w:pPr>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9">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A">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B">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D">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D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D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D2">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D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D4">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D5">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D6">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7">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8">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A">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B">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C">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D">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E">
      <w:pPr>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F">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E1">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E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E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4">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E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8">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F">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F0">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F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F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5">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6">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A">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D">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E">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F">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10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0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10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03">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4">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A">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B">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C">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D">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A">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D">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character" w:styleId="UnresolvedMention">
    <w:name w:val="Unresolved Mention"/>
    <w:basedOn w:val="DefaultParagraphFont"/>
    <w:uiPriority w:val="99"/>
    <w:semiHidden w:val="1"/>
    <w:unhideWhenUsed w:val="1"/>
    <w:rsid w:val="004237D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gdprgeneralenquiries@crowncommercial.gov.uk"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2/OHgrR0wIZev8njxZvCU0U65A==">CgMxLjAyCWlkLmdqZGd4czIKaWQuMzBqMHpsbDIKaWQuMWZvYjl0ZTIKaWQuM3pueXNoNzIKaWQuMmV0OTJwMDIJaWQudHlqY3d0MgppZC4zZHk2dmttMgppZC4xdDNoNXNmMgppZC40ZDM0b2c4MgppZC4yczhleW8xMgppZC4xN2RwOHZ1MgppZC4zcmRjcmpuMgloLjI2aW4xcmcyCWlkLmxueGJ6OTIKaWQuMzVua3VuMjIJaC4zMGowemxsMghoLmdqZGd4czIKaWQuMWtzdjR1djIJaC40NHNpbmlvOABqKAoUc3VnZ2VzdC5qNzN1YXZxMGt6dzISEENhcm1lbCBTdXRjbGlmZmVyITFBVExsRUFSNkdsTXB1VlV1OW5RU3BmNDNNX1Atc29k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2023-05-10T11:57:00Z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